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30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[Recipient's Name]</w:t>
        <w:br w:type="textWrapping"/>
        <w:t xml:space="preserve">[Recipient's Position]</w:t>
        <w:br w:type="textWrapping"/>
        <w:t xml:space="preserve">[Nonprofit's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Dear [Recipient's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am writing to bring to your attention an upcoming opportunity that could significantly enhance our fundraising efforts at [Nonprofit's Name].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Annual Virtuous User Summit (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now called Respond)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is taking place in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Dallas, Texas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May 27-29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This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in-person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 includes role, sector, and experience-level content, hands-on product workshops, peer learning and collaboration opportunities, and CFRE-eligible sessions. There are also pre-conference Customer Learning Labs Day offering deeper Virtuous product and responsive fundraising training. This conference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is specifically designed to help organizations like ours maximize the benefits of the Virtuous platform.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Currently, it feels as though we possess a powerful tool in Virtuous, yet we are not utilizing its full potential—it's akin to owning a Ferrari but driving it like a Corolla. Attending this summit would allow us to unlock the full capabilities of Virtuous and leverage its features more effectively to increase our return on investment.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Respond’s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multiple tracks covering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areas like Strategy,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Marketing/Fundra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ising, AI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and Major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Gift/Development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make it beneficial for staff to attend from various departments within our organization. Additionally, the case studies presented by 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nonprofits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will provide us with practical insights into how they have successfully implemented Virtuous technology to improve their efficiency, save staff time, and boost their fundraising outcomes.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One particularly appealing aspect of Respond is also the opportunity to obtain in-depth training on things like queries, automations, analytics, giving pages and moves management in the add-on pre-conference Customer Learning Labs. Getting this kind of full-day, hands-on instruction in person would increase our team’s expertise on the platform, enhancing the effectiveness of our fundraising initiatives and eliminating manual processes, thereby saving considerable staff time.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believe that attending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Respond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will provide invaluable insights, helping us elevate our fundraising efforts and impact. The knowledge gained in just a few days could be instrumental in achieving our goals and maximizing the time we spend fundraising. You can find more information about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https://respond.virtuous.org/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cost to register for the event is: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Pre-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Early Bird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0/30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1/16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$799 ($400 savings)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Early Bird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Pricing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/17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3/31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$899 ($300 savings)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4/1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5/26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until sold out: $999 ($200 savings)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Onsite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5/27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beyond: $1,199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$50 discount per person with four (4) or more tickets purchased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Add-On Optional Tickets: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Pre-Conference Learning Lab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$499 for a full day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Women’s Networking Breakfast: $49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Leadership Luncheon: $99 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I’ve shared an approximate breakdown of my estimated travel costs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3600.0" w:type="dxa"/>
        <w:jc w:val="left"/>
        <w:tblLayout w:type="fixed"/>
        <w:tblLook w:val="0400"/>
      </w:tblPr>
      <w:tblGrid>
        <w:gridCol w:w="2280"/>
        <w:gridCol w:w="1320"/>
        <w:tblGridChange w:id="0">
          <w:tblGrid>
            <w:gridCol w:w="2280"/>
            <w:gridCol w:w="13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Airfare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Transportation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Hotel ($2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+ tax/nt)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Meals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$xxx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Thank you for considering this request. I look forward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discussing this opportunity with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[Your Name]</w:t>
        <w:br w:type="textWrapping"/>
        <w:t xml:space="preserve">[Your Position]</w:t>
        <w:br w:type="textWrapping"/>
        <w:t xml:space="preserve">[Nonprofit's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5480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5480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5480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5480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5480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5480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5480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5480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5480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5480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5480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5480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5480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5480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5480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5480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5480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5480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5480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480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5480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B5480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Hyperlink">
    <w:name w:val="Hyperlink"/>
    <w:basedOn w:val="DefaultParagraphFont"/>
    <w:uiPriority w:val="99"/>
    <w:unhideWhenUsed w:val="1"/>
    <w:rsid w:val="00F53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53B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pond.virtuous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gotPv2YQtvFD7Yl4AzA/iI9XQ==">CgMxLjA4AHIhMWFtNHF0andBNUlKVEp5UlVCSHN5d3hBZENtbWE2NnR4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2025-01-29T16:23:00Z</dcterms:created>
  <dc:creator>Monica McQueen</dc:creator>
</cp:coreProperties>
</file>