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before="300" w:line="360" w:lineRule="auto"/>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[Recipient's Name]</w:t>
        <w:br w:type="textWrapping"/>
        <w:t xml:space="preserve">[Recipient's Position]</w:t>
        <w:br w:type="textWrapping"/>
        <w:t xml:space="preserve">[Nonprofit's Name]</w:t>
      </w:r>
      <w:r w:rsidDel="00000000" w:rsidR="00000000" w:rsidRPr="00000000">
        <w:rPr>
          <w:rtl w:val="0"/>
        </w:rPr>
      </w:r>
    </w:p>
    <w:p w:rsidR="00000000" w:rsidDel="00000000" w:rsidP="00000000" w:rsidRDefault="00000000" w:rsidRPr="00000000" w14:paraId="00000002">
      <w:pPr>
        <w:shd w:fill="ffffff" w:val="clear"/>
        <w:spacing w:line="36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3">
      <w:pPr>
        <w:shd w:fill="ffffff" w:val="clear"/>
        <w:spacing w:line="36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Dear [Recipient's Name],</w:t>
      </w:r>
      <w:r w:rsidDel="00000000" w:rsidR="00000000" w:rsidRPr="00000000">
        <w:rPr>
          <w:rtl w:val="0"/>
        </w:rPr>
      </w:r>
    </w:p>
    <w:p w:rsidR="00000000" w:rsidDel="00000000" w:rsidP="00000000" w:rsidRDefault="00000000" w:rsidRPr="00000000" w14:paraId="00000004">
      <w:pPr>
        <w:shd w:fill="ffffff" w:val="clea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shd w:fill="ffffff" w:val="clear"/>
        <w:spacing w:after="240" w:before="24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am writing to share an exciting opportunity that could significantly enhance our fundraising strategy and overall impact at [Nonprofit’s Name]. Virtuous Software’s </w:t>
      </w:r>
      <w:r w:rsidDel="00000000" w:rsidR="00000000" w:rsidRPr="00000000">
        <w:rPr>
          <w:rFonts w:ascii="Arial" w:cs="Arial" w:eastAsia="Arial" w:hAnsi="Arial"/>
          <w:b w:val="1"/>
          <w:bCs w:val="1"/>
          <w:sz w:val="22"/>
          <w:szCs w:val="22"/>
          <w:rtl w:val="0"/>
        </w:rPr>
        <w:t xml:space="preserve">Respond ‘26 </w:t>
      </w:r>
      <w:r w:rsidDel="00000000" w:rsidR="00000000" w:rsidRPr="00000000">
        <w:rPr>
          <w:rFonts w:ascii="Arial" w:cs="Arial" w:eastAsia="Arial" w:hAnsi="Arial"/>
          <w:sz w:val="22"/>
          <w:szCs w:val="22"/>
          <w:rtl w:val="0"/>
        </w:rPr>
        <w:t xml:space="preserve">(previously User Summit)</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is taking place in Dallas, Texas, from </w:t>
      </w:r>
      <w:r w:rsidDel="00000000" w:rsidR="00000000" w:rsidRPr="00000000">
        <w:rPr>
          <w:rFonts w:ascii="Arial" w:cs="Arial" w:eastAsia="Arial" w:hAnsi="Arial"/>
          <w:b w:val="1"/>
          <w:bCs w:val="1"/>
          <w:sz w:val="22"/>
          <w:szCs w:val="22"/>
          <w:rtl w:val="0"/>
        </w:rPr>
        <w:t xml:space="preserve">May 27–29, 2026</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6">
      <w:pPr>
        <w:shd w:fill="ffffff" w:val="clear"/>
        <w:spacing w:after="240" w:before="24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Respond is designed for forward-thinking nonprofit professionals who want to innovate in their fundraising approach and explore how responsive fundraising practices and emerging technologies are shaping the future of generosity. This two-day in-person event features </w:t>
      </w:r>
      <w:r w:rsidDel="00000000" w:rsidR="00000000" w:rsidRPr="00000000">
        <w:rPr>
          <w:rFonts w:ascii="Arial" w:cs="Arial" w:eastAsia="Arial" w:hAnsi="Arial"/>
          <w:b w:val="1"/>
          <w:bCs w:val="1"/>
          <w:sz w:val="22"/>
          <w:szCs w:val="22"/>
          <w:rtl w:val="0"/>
        </w:rPr>
        <w:t xml:space="preserve">role- and sector-specific learning tracks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bCs w:val="1"/>
          <w:sz w:val="22"/>
          <w:szCs w:val="22"/>
          <w:rtl w:val="0"/>
        </w:rPr>
        <w:t xml:space="preserve">hands-on workshops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bCs w:val="1"/>
          <w:sz w:val="22"/>
          <w:szCs w:val="22"/>
          <w:rtl w:val="0"/>
        </w:rPr>
        <w:t xml:space="preserve">peer collaboration</w:t>
      </w:r>
      <w:r w:rsidDel="00000000" w:rsidR="00000000" w:rsidRPr="00000000">
        <w:rPr>
          <w:rFonts w:ascii="Arial" w:cs="Arial" w:eastAsia="Arial" w:hAnsi="Arial"/>
          <w:sz w:val="22"/>
          <w:szCs w:val="22"/>
          <w:rtl w:val="0"/>
        </w:rPr>
        <w:t xml:space="preserve">, and </w:t>
      </w:r>
      <w:r w:rsidDel="00000000" w:rsidR="00000000" w:rsidRPr="00000000">
        <w:rPr>
          <w:rFonts w:ascii="Arial" w:cs="Arial" w:eastAsia="Arial" w:hAnsi="Arial"/>
          <w:b w:val="1"/>
          <w:bCs w:val="1"/>
          <w:sz w:val="22"/>
          <w:szCs w:val="22"/>
          <w:rtl w:val="0"/>
        </w:rPr>
        <w:t xml:space="preserve">CFRE-eligible sessions</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7">
      <w:pPr>
        <w:shd w:fill="ffffff" w:val="clear"/>
        <w:spacing w:after="240" w:before="24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While we’re not currently using Virtuous, attending Respond would give us valuable exposure to modern fundraising systems and tractial strategies that leading nonprofits are using to increase donor engagement and scale impact. We’d have the chance to learn directly from organizations that have adopted responsive fundraising principles — hearing how they’ve streamlined operations, saved staff time, and achieved measurable growth in giving.</w:t>
      </w:r>
    </w:p>
    <w:p w:rsidR="00000000" w:rsidDel="00000000" w:rsidP="00000000" w:rsidRDefault="00000000" w:rsidRPr="00000000" w14:paraId="00000008">
      <w:pPr>
        <w:shd w:fill="ffffff" w:val="clear"/>
        <w:spacing w:after="240" w:before="24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conference’s multiple tracks — covering </w:t>
      </w:r>
      <w:r w:rsidDel="00000000" w:rsidR="00000000" w:rsidRPr="00000000">
        <w:rPr>
          <w:rFonts w:ascii="Arial" w:cs="Arial" w:eastAsia="Arial" w:hAnsi="Arial"/>
          <w:b w:val="1"/>
          <w:bCs w:val="1"/>
          <w:sz w:val="22"/>
          <w:szCs w:val="22"/>
          <w:rtl w:val="0"/>
        </w:rPr>
        <w:t xml:space="preserve">Strategy, Marketing/Fundraising, AI, Data, and Major Gift/Development </w:t>
      </w:r>
      <w:r w:rsidDel="00000000" w:rsidR="00000000" w:rsidRPr="00000000">
        <w:rPr>
          <w:rFonts w:ascii="Arial" w:cs="Arial" w:eastAsia="Arial" w:hAnsi="Arial"/>
          <w:sz w:val="22"/>
          <w:szCs w:val="22"/>
          <w:rtl w:val="0"/>
        </w:rPr>
        <w:t xml:space="preserve">— would make it relevant for several members of our team. We could each bring back fresh insights and actionable ideas to strengthen our processes and donor relationships (and they offer a 4+ person discount of $50 per person).</w:t>
      </w:r>
    </w:p>
    <w:p w:rsidR="00000000" w:rsidDel="00000000" w:rsidP="00000000" w:rsidRDefault="00000000" w:rsidRPr="00000000" w14:paraId="00000009">
      <w:pPr>
        <w:shd w:fill="ffffff" w:val="clear"/>
        <w:spacing w:after="240" w:before="24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Additionally, the event’s workshops and training sessions would help us evaluate where our current systems might be falling short and identify opportunities for innovation, automation, and integration — knowledge that could directly influence our fundraising outcomes and efficiency.</w:t>
      </w:r>
    </w:p>
    <w:p w:rsidR="00000000" w:rsidDel="00000000" w:rsidP="00000000" w:rsidRDefault="00000000" w:rsidRPr="00000000" w14:paraId="0000000A">
      <w:pPr>
        <w:shd w:fill="ffffff" w:val="clear"/>
        <w:spacing w:after="240" w:before="24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believe that attending Respond would be a highly worthwhile investment. The insights, peer connections, and practical learning opportunities could help us reimagine our approach to fundraising and ensure we stay at the forefront of sector best practices.</w:t>
      </w:r>
    </w:p>
    <w:p w:rsidR="00000000" w:rsidDel="00000000" w:rsidP="00000000" w:rsidRDefault="00000000" w:rsidRPr="00000000" w14:paraId="0000000B">
      <w:pPr>
        <w:shd w:fill="ffffff" w:val="clear"/>
        <w:spacing w:line="36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You can find more information about </w:t>
      </w:r>
      <w:r w:rsidDel="00000000" w:rsidR="00000000" w:rsidRPr="00000000">
        <w:rPr>
          <w:rFonts w:ascii="Arial" w:cs="Arial" w:eastAsia="Arial" w:hAnsi="Arial"/>
          <w:sz w:val="22"/>
          <w:szCs w:val="22"/>
          <w:rtl w:val="0"/>
        </w:rPr>
        <w:t xml:space="preserve">Respond</w:t>
      </w:r>
      <w:r w:rsidDel="00000000" w:rsidR="00000000" w:rsidRPr="00000000">
        <w:rPr>
          <w:rFonts w:ascii="Arial" w:cs="Arial" w:eastAsia="Arial" w:hAnsi="Arial"/>
          <w:color w:val="000000"/>
          <w:sz w:val="22"/>
          <w:szCs w:val="22"/>
          <w:rtl w:val="0"/>
        </w:rPr>
        <w:t xml:space="preserve"> at </w:t>
      </w:r>
      <w:hyperlink r:id="rId7">
        <w:r w:rsidDel="00000000" w:rsidR="00000000" w:rsidRPr="00000000">
          <w:rPr>
            <w:rFonts w:ascii="Arial" w:cs="Arial" w:eastAsia="Arial" w:hAnsi="Arial"/>
            <w:color w:val="1155cc"/>
            <w:sz w:val="22"/>
            <w:szCs w:val="22"/>
            <w:u w:val="single"/>
            <w:rtl w:val="0"/>
          </w:rPr>
          <w:t xml:space="preserve">https://respond.virtuous.org/</w:t>
        </w:r>
      </w:hyperlink>
      <w:r w:rsidDel="00000000" w:rsidR="00000000" w:rsidRPr="00000000">
        <w:rPr>
          <w:rFonts w:ascii="Arial" w:cs="Arial" w:eastAsia="Arial" w:hAnsi="Arial"/>
          <w:color w:val="000000"/>
          <w:sz w:val="22"/>
          <w:szCs w:val="22"/>
          <w:rtl w:val="0"/>
        </w:rPr>
        <w:t xml:space="preserve">.</w:t>
      </w:r>
    </w:p>
    <w:p w:rsidR="00000000" w:rsidDel="00000000" w:rsidP="00000000" w:rsidRDefault="00000000" w:rsidRPr="00000000" w14:paraId="0000000C">
      <w:pPr>
        <w:shd w:fill="ffffff" w:val="clea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shd w:fill="ffffff" w:val="clear"/>
        <w:spacing w:line="36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cost to register for the event is: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360" w:lineRule="auto"/>
        <w:ind w:left="720" w:right="0" w:hanging="360"/>
        <w:jc w:val="left"/>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sz w:val="22"/>
          <w:szCs w:val="22"/>
          <w:rtl w:val="0"/>
        </w:rPr>
        <w:t xml:space="preserve">Pre-</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Early Bird 1</w:t>
      </w:r>
      <w:r w:rsidDel="00000000" w:rsidR="00000000" w:rsidRPr="00000000">
        <w:rPr>
          <w:rFonts w:ascii="Arial" w:cs="Arial" w:eastAsia="Arial" w:hAnsi="Arial"/>
          <w:sz w:val="22"/>
          <w:szCs w:val="22"/>
          <w:rtl w:val="0"/>
        </w:rPr>
        <w:t xml:space="preserve">0/30</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 </w:t>
      </w:r>
      <w:r w:rsidDel="00000000" w:rsidR="00000000" w:rsidRPr="00000000">
        <w:rPr>
          <w:rFonts w:ascii="Arial" w:cs="Arial" w:eastAsia="Arial" w:hAnsi="Arial"/>
          <w:sz w:val="22"/>
          <w:szCs w:val="22"/>
          <w:rtl w:val="0"/>
        </w:rPr>
        <w:t xml:space="preserve">1/16</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$799 ($400 savings) </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360" w:lineRule="auto"/>
        <w:ind w:left="720" w:right="0" w:hanging="360"/>
        <w:jc w:val="left"/>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sz w:val="22"/>
          <w:szCs w:val="22"/>
          <w:rtl w:val="0"/>
        </w:rPr>
        <w:t xml:space="preserve">Early Bird</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Pricing </w:t>
      </w:r>
      <w:r w:rsidDel="00000000" w:rsidR="00000000" w:rsidRPr="00000000">
        <w:rPr>
          <w:rFonts w:ascii="Arial" w:cs="Arial" w:eastAsia="Arial" w:hAnsi="Arial"/>
          <w:sz w:val="22"/>
          <w:szCs w:val="22"/>
          <w:rtl w:val="0"/>
        </w:rPr>
        <w:t xml:space="preserve">1</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/17 – </w:t>
      </w:r>
      <w:r w:rsidDel="00000000" w:rsidR="00000000" w:rsidRPr="00000000">
        <w:rPr>
          <w:rFonts w:ascii="Arial" w:cs="Arial" w:eastAsia="Arial" w:hAnsi="Arial"/>
          <w:sz w:val="22"/>
          <w:szCs w:val="22"/>
          <w:rtl w:val="0"/>
        </w:rPr>
        <w:t xml:space="preserve">3/31</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$899 ($300 savings)</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360" w:lineRule="auto"/>
        <w:ind w:left="720" w:right="0" w:hanging="360"/>
        <w:jc w:val="left"/>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Regular </w:t>
      </w:r>
      <w:r w:rsidDel="00000000" w:rsidR="00000000" w:rsidRPr="00000000">
        <w:rPr>
          <w:rFonts w:ascii="Arial" w:cs="Arial" w:eastAsia="Arial" w:hAnsi="Arial"/>
          <w:sz w:val="22"/>
          <w:szCs w:val="22"/>
          <w:rtl w:val="0"/>
        </w:rPr>
        <w:t xml:space="preserve">4/1</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 </w:t>
      </w:r>
      <w:r w:rsidDel="00000000" w:rsidR="00000000" w:rsidRPr="00000000">
        <w:rPr>
          <w:rFonts w:ascii="Arial" w:cs="Arial" w:eastAsia="Arial" w:hAnsi="Arial"/>
          <w:sz w:val="22"/>
          <w:szCs w:val="22"/>
          <w:rtl w:val="0"/>
        </w:rPr>
        <w:t xml:space="preserve">5/26</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or until sold out: $999 ($200 savings)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360" w:lineRule="auto"/>
        <w:ind w:left="720" w:right="0" w:hanging="360"/>
        <w:jc w:val="left"/>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Onsite </w:t>
      </w:r>
      <w:r w:rsidDel="00000000" w:rsidR="00000000" w:rsidRPr="00000000">
        <w:rPr>
          <w:rFonts w:ascii="Arial" w:cs="Arial" w:eastAsia="Arial" w:hAnsi="Arial"/>
          <w:sz w:val="22"/>
          <w:szCs w:val="22"/>
          <w:rtl w:val="0"/>
        </w:rPr>
        <w:t xml:space="preserve">5/27</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and beyond: $1,199</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360" w:lineRule="auto"/>
        <w:ind w:left="720" w:right="0" w:hanging="360"/>
        <w:jc w:val="left"/>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$50 discount per person with four (4) or more tickets purchased</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360" w:lineRule="auto"/>
        <w:ind w:left="720" w:right="0" w:hanging="360"/>
        <w:jc w:val="left"/>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Add-On Optional Tickets:</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360" w:lineRule="auto"/>
        <w:ind w:left="1440" w:right="0" w:hanging="360"/>
        <w:jc w:val="left"/>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Women’s Networking Breakfast: $49</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360" w:lineRule="auto"/>
        <w:ind w:left="1440" w:right="0" w:hanging="360"/>
        <w:jc w:val="left"/>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Executive Leadership Luncheon: $99 </w:t>
      </w:r>
      <w:r w:rsidDel="00000000" w:rsidR="00000000" w:rsidRPr="00000000">
        <w:rPr>
          <w:rtl w:val="0"/>
        </w:rPr>
      </w:r>
    </w:p>
    <w:p w:rsidR="00000000" w:rsidDel="00000000" w:rsidP="00000000" w:rsidRDefault="00000000" w:rsidRPr="00000000" w14:paraId="00000016">
      <w:pPr>
        <w:shd w:fill="ffffff" w:val="clear"/>
        <w:spacing w:line="36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7">
      <w:pPr>
        <w:shd w:fill="ffffff" w:val="clear"/>
        <w:spacing w:line="360" w:lineRule="auto"/>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I’ve shared an approximate breakdown of my estimated travel costs below:</w:t>
      </w:r>
      <w:r w:rsidDel="00000000" w:rsidR="00000000" w:rsidRPr="00000000">
        <w:rPr>
          <w:rtl w:val="0"/>
        </w:rPr>
      </w:r>
    </w:p>
    <w:p w:rsidR="00000000" w:rsidDel="00000000" w:rsidP="00000000" w:rsidRDefault="00000000" w:rsidRPr="00000000" w14:paraId="00000018">
      <w:pPr>
        <w:shd w:fill="ffffff" w:val="clear"/>
        <w:spacing w:line="360" w:lineRule="auto"/>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 </w:t>
      </w:r>
      <w:r w:rsidDel="00000000" w:rsidR="00000000" w:rsidRPr="00000000">
        <w:rPr>
          <w:rtl w:val="0"/>
        </w:rPr>
      </w:r>
    </w:p>
    <w:tbl>
      <w:tblPr>
        <w:tblStyle w:val="Table1"/>
        <w:tblW w:w="5520.0" w:type="dxa"/>
        <w:jc w:val="left"/>
        <w:tblLayout w:type="fixed"/>
        <w:tblLook w:val="0400"/>
      </w:tblPr>
      <w:tblGrid>
        <w:gridCol w:w="3855"/>
        <w:gridCol w:w="1665"/>
        <w:tblGridChange w:id="0">
          <w:tblGrid>
            <w:gridCol w:w="3855"/>
            <w:gridCol w:w="1665"/>
          </w:tblGrid>
        </w:tblGridChange>
      </w:tblGrid>
      <w:tr>
        <w:trPr>
          <w:cantSplit w:val="0"/>
          <w:trHeight w:val="255" w:hRule="atLeast"/>
          <w:tblHeader w:val="0"/>
        </w:trPr>
        <w:tc>
          <w:tcPr>
            <w:tcMar>
              <w:top w:w="0.0" w:type="dxa"/>
              <w:left w:w="100.0" w:type="dxa"/>
              <w:bottom w:w="0.0" w:type="dxa"/>
              <w:right w:w="100.0" w:type="dxa"/>
            </w:tcMar>
          </w:tcPr>
          <w:p w:rsidR="00000000" w:rsidDel="00000000" w:rsidP="00000000" w:rsidRDefault="00000000" w:rsidRPr="00000000" w14:paraId="00000019">
            <w:pPr>
              <w:shd w:fill="ffffff" w:val="clear"/>
              <w:spacing w:line="360" w:lineRule="auto"/>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Airfare</w:t>
            </w:r>
            <w:r w:rsidDel="00000000" w:rsidR="00000000" w:rsidRPr="00000000">
              <w:rPr>
                <w:rtl w:val="0"/>
              </w:rPr>
            </w:r>
          </w:p>
        </w:tc>
        <w:tc>
          <w:tcPr>
            <w:tcMar>
              <w:top w:w="0.0" w:type="dxa"/>
              <w:left w:w="100.0" w:type="dxa"/>
              <w:bottom w:w="0.0" w:type="dxa"/>
              <w:right w:w="100.0" w:type="dxa"/>
            </w:tcMar>
          </w:tcPr>
          <w:p w:rsidR="00000000" w:rsidDel="00000000" w:rsidP="00000000" w:rsidRDefault="00000000" w:rsidRPr="00000000" w14:paraId="0000001A">
            <w:pPr>
              <w:shd w:fill="ffffff" w:val="clear"/>
              <w:spacing w:line="360" w:lineRule="auto"/>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$xxx</w:t>
            </w:r>
            <w:r w:rsidDel="00000000" w:rsidR="00000000" w:rsidRPr="00000000">
              <w:rPr>
                <w:rtl w:val="0"/>
              </w:rPr>
            </w:r>
          </w:p>
        </w:tc>
      </w:tr>
      <w:tr>
        <w:trPr>
          <w:cantSplit w:val="0"/>
          <w:trHeight w:val="255" w:hRule="atLeast"/>
          <w:tblHeader w:val="0"/>
        </w:trPr>
        <w:tc>
          <w:tcPr>
            <w:tcMar>
              <w:top w:w="0.0" w:type="dxa"/>
              <w:left w:w="100.0" w:type="dxa"/>
              <w:bottom w:w="0.0" w:type="dxa"/>
              <w:right w:w="100.0" w:type="dxa"/>
            </w:tcMar>
          </w:tcPr>
          <w:p w:rsidR="00000000" w:rsidDel="00000000" w:rsidP="00000000" w:rsidRDefault="00000000" w:rsidRPr="00000000" w14:paraId="0000001B">
            <w:pPr>
              <w:shd w:fill="ffffff" w:val="clear"/>
              <w:spacing w:line="360" w:lineRule="auto"/>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Transportation</w:t>
            </w:r>
            <w:r w:rsidDel="00000000" w:rsidR="00000000" w:rsidRPr="00000000">
              <w:rPr>
                <w:rtl w:val="0"/>
              </w:rPr>
            </w:r>
          </w:p>
        </w:tc>
        <w:tc>
          <w:tcPr>
            <w:tcMar>
              <w:top w:w="0.0" w:type="dxa"/>
              <w:left w:w="100.0" w:type="dxa"/>
              <w:bottom w:w="0.0" w:type="dxa"/>
              <w:right w:w="100.0" w:type="dxa"/>
            </w:tcMar>
          </w:tcPr>
          <w:p w:rsidR="00000000" w:rsidDel="00000000" w:rsidP="00000000" w:rsidRDefault="00000000" w:rsidRPr="00000000" w14:paraId="0000001C">
            <w:pPr>
              <w:shd w:fill="ffffff" w:val="clear"/>
              <w:spacing w:line="360" w:lineRule="auto"/>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$xxx</w:t>
            </w:r>
            <w:r w:rsidDel="00000000" w:rsidR="00000000" w:rsidRPr="00000000">
              <w:rPr>
                <w:rtl w:val="0"/>
              </w:rPr>
            </w:r>
          </w:p>
        </w:tc>
      </w:tr>
      <w:tr>
        <w:trPr>
          <w:cantSplit w:val="0"/>
          <w:trHeight w:val="255" w:hRule="atLeast"/>
          <w:tblHeader w:val="0"/>
        </w:trPr>
        <w:tc>
          <w:tcPr>
            <w:tcMar>
              <w:top w:w="0.0" w:type="dxa"/>
              <w:left w:w="100.0" w:type="dxa"/>
              <w:bottom w:w="0.0" w:type="dxa"/>
              <w:right w:w="100.0" w:type="dxa"/>
            </w:tcMar>
          </w:tcPr>
          <w:p w:rsidR="00000000" w:rsidDel="00000000" w:rsidP="00000000" w:rsidRDefault="00000000" w:rsidRPr="00000000" w14:paraId="0000001D">
            <w:pPr>
              <w:shd w:fill="ffffff" w:val="clea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Sheraton </w:t>
            </w:r>
            <w:r w:rsidDel="00000000" w:rsidR="00000000" w:rsidRPr="00000000">
              <w:rPr>
                <w:rFonts w:ascii="Arial" w:cs="Arial" w:eastAsia="Arial" w:hAnsi="Arial"/>
                <w:color w:val="000000"/>
                <w:sz w:val="22"/>
                <w:szCs w:val="22"/>
                <w:rtl w:val="0"/>
              </w:rPr>
              <w:t xml:space="preserve">Hotel ($2</w:t>
            </w:r>
            <w:r w:rsidDel="00000000" w:rsidR="00000000" w:rsidRPr="00000000">
              <w:rPr>
                <w:rFonts w:ascii="Arial" w:cs="Arial" w:eastAsia="Arial" w:hAnsi="Arial"/>
                <w:sz w:val="22"/>
                <w:szCs w:val="22"/>
                <w:rtl w:val="0"/>
              </w:rPr>
              <w:t xml:space="preserve">46</w:t>
            </w:r>
            <w:r w:rsidDel="00000000" w:rsidR="00000000" w:rsidRPr="00000000">
              <w:rPr>
                <w:rFonts w:ascii="Arial" w:cs="Arial" w:eastAsia="Arial" w:hAnsi="Arial"/>
                <w:color w:val="000000"/>
                <w:sz w:val="22"/>
                <w:szCs w:val="22"/>
                <w:rtl w:val="0"/>
              </w:rPr>
              <w:t xml:space="preserve">+ tax/nt)</w:t>
            </w:r>
            <w:r w:rsidDel="00000000" w:rsidR="00000000" w:rsidRPr="00000000">
              <w:rPr>
                <w:rtl w:val="0"/>
              </w:rPr>
            </w:r>
          </w:p>
        </w:tc>
        <w:tc>
          <w:tcPr>
            <w:tcMar>
              <w:top w:w="0.0" w:type="dxa"/>
              <w:left w:w="100.0" w:type="dxa"/>
              <w:bottom w:w="0.0" w:type="dxa"/>
              <w:right w:w="100.0" w:type="dxa"/>
            </w:tcMar>
          </w:tcPr>
          <w:p w:rsidR="00000000" w:rsidDel="00000000" w:rsidP="00000000" w:rsidRDefault="00000000" w:rsidRPr="00000000" w14:paraId="0000001E">
            <w:pPr>
              <w:shd w:fill="ffffff" w:val="clear"/>
              <w:spacing w:line="360" w:lineRule="auto"/>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$xxx</w:t>
            </w:r>
            <w:r w:rsidDel="00000000" w:rsidR="00000000" w:rsidRPr="00000000">
              <w:rPr>
                <w:rtl w:val="0"/>
              </w:rPr>
            </w:r>
          </w:p>
        </w:tc>
      </w:tr>
      <w:tr>
        <w:trPr>
          <w:cantSplit w:val="0"/>
          <w:trHeight w:val="270" w:hRule="atLeast"/>
          <w:tblHeader w:val="0"/>
        </w:trPr>
        <w:tc>
          <w:tcPr>
            <w:tcBorders>
              <w:bottom w:color="000000" w:space="0" w:sz="6" w:val="single"/>
            </w:tcBorders>
            <w:tcMar>
              <w:top w:w="0.0" w:type="dxa"/>
              <w:left w:w="100.0" w:type="dxa"/>
              <w:bottom w:w="0.0" w:type="dxa"/>
              <w:right w:w="100.0" w:type="dxa"/>
            </w:tcMar>
          </w:tcPr>
          <w:p w:rsidR="00000000" w:rsidDel="00000000" w:rsidP="00000000" w:rsidRDefault="00000000" w:rsidRPr="00000000" w14:paraId="0000001F">
            <w:pPr>
              <w:shd w:fill="ffffff" w:val="clear"/>
              <w:spacing w:line="360" w:lineRule="auto"/>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Meals</w:t>
            </w:r>
            <w:r w:rsidDel="00000000" w:rsidR="00000000" w:rsidRPr="00000000">
              <w:rPr>
                <w:rtl w:val="0"/>
              </w:rPr>
            </w:r>
          </w:p>
        </w:tc>
        <w:tc>
          <w:tcPr>
            <w:tcBorders>
              <w:bottom w:color="000000" w:space="0" w:sz="6" w:val="single"/>
            </w:tcBorders>
            <w:tcMar>
              <w:top w:w="0.0" w:type="dxa"/>
              <w:left w:w="100.0" w:type="dxa"/>
              <w:bottom w:w="0.0" w:type="dxa"/>
              <w:right w:w="100.0" w:type="dxa"/>
            </w:tcMar>
          </w:tcPr>
          <w:p w:rsidR="00000000" w:rsidDel="00000000" w:rsidP="00000000" w:rsidRDefault="00000000" w:rsidRPr="00000000" w14:paraId="00000020">
            <w:pPr>
              <w:shd w:fill="ffffff" w:val="clear"/>
              <w:spacing w:line="360" w:lineRule="auto"/>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$xxx</w:t>
            </w:r>
            <w:r w:rsidDel="00000000" w:rsidR="00000000" w:rsidRPr="00000000">
              <w:rPr>
                <w:rtl w:val="0"/>
              </w:rPr>
            </w:r>
          </w:p>
        </w:tc>
      </w:tr>
      <w:tr>
        <w:trPr>
          <w:cantSplit w:val="0"/>
          <w:trHeight w:val="270" w:hRule="atLeast"/>
          <w:tblHeader w:val="0"/>
        </w:trPr>
        <w:tc>
          <w:tcPr>
            <w:tcBorders>
              <w:top w:color="000000" w:space="0" w:sz="6" w:val="single"/>
            </w:tcBorders>
            <w:tcMar>
              <w:top w:w="0.0" w:type="dxa"/>
              <w:left w:w="100.0" w:type="dxa"/>
              <w:bottom w:w="0.0" w:type="dxa"/>
              <w:right w:w="100.0" w:type="dxa"/>
            </w:tcMar>
          </w:tcPr>
          <w:p w:rsidR="00000000" w:rsidDel="00000000" w:rsidP="00000000" w:rsidRDefault="00000000" w:rsidRPr="00000000" w14:paraId="00000021">
            <w:pPr>
              <w:shd w:fill="ffffff" w:val="clear"/>
              <w:spacing w:line="360" w:lineRule="auto"/>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 </w:t>
            </w:r>
            <w:r w:rsidDel="00000000" w:rsidR="00000000" w:rsidRPr="00000000">
              <w:rPr>
                <w:rtl w:val="0"/>
              </w:rPr>
            </w:r>
          </w:p>
        </w:tc>
        <w:tc>
          <w:tcPr>
            <w:tcBorders>
              <w:top w:color="000000" w:space="0" w:sz="6" w:val="single"/>
            </w:tcBorders>
            <w:tcMar>
              <w:top w:w="0.0" w:type="dxa"/>
              <w:left w:w="100.0" w:type="dxa"/>
              <w:bottom w:w="0.0" w:type="dxa"/>
              <w:right w:w="100.0" w:type="dxa"/>
            </w:tcMar>
          </w:tcPr>
          <w:p w:rsidR="00000000" w:rsidDel="00000000" w:rsidP="00000000" w:rsidRDefault="00000000" w:rsidRPr="00000000" w14:paraId="00000022">
            <w:pPr>
              <w:shd w:fill="ffffff" w:val="clear"/>
              <w:spacing w:line="360" w:lineRule="auto"/>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 </w:t>
            </w:r>
            <w:r w:rsidDel="00000000" w:rsidR="00000000" w:rsidRPr="00000000">
              <w:rPr>
                <w:rtl w:val="0"/>
              </w:rPr>
            </w:r>
          </w:p>
        </w:tc>
      </w:tr>
      <w:tr>
        <w:trPr>
          <w:cantSplit w:val="0"/>
          <w:trHeight w:val="255" w:hRule="atLeast"/>
          <w:tblHeader w:val="0"/>
        </w:trPr>
        <w:tc>
          <w:tcPr>
            <w:tcMar>
              <w:top w:w="0.0" w:type="dxa"/>
              <w:left w:w="100.0" w:type="dxa"/>
              <w:bottom w:w="0.0" w:type="dxa"/>
              <w:right w:w="100.0" w:type="dxa"/>
            </w:tcMar>
          </w:tcPr>
          <w:p w:rsidR="00000000" w:rsidDel="00000000" w:rsidP="00000000" w:rsidRDefault="00000000" w:rsidRPr="00000000" w14:paraId="00000023">
            <w:pPr>
              <w:shd w:fill="ffffff" w:val="clear"/>
              <w:spacing w:line="360" w:lineRule="auto"/>
              <w:rPr>
                <w:rFonts w:ascii="Arial" w:cs="Arial" w:eastAsia="Arial" w:hAnsi="Arial"/>
                <w:sz w:val="22"/>
                <w:szCs w:val="22"/>
              </w:rPr>
            </w:pPr>
            <w:r w:rsidDel="00000000" w:rsidR="00000000" w:rsidRPr="00000000">
              <w:rPr>
                <w:rFonts w:ascii="Arial" w:cs="Arial" w:eastAsia="Arial" w:hAnsi="Arial"/>
                <w:b w:val="1"/>
                <w:bCs w:val="1"/>
                <w:color w:val="000000"/>
                <w:sz w:val="22"/>
                <w:szCs w:val="22"/>
                <w:rtl w:val="0"/>
              </w:rPr>
              <w:t xml:space="preserve">Total</w:t>
            </w:r>
            <w:r w:rsidDel="00000000" w:rsidR="00000000" w:rsidRPr="00000000">
              <w:rPr>
                <w:rtl w:val="0"/>
              </w:rPr>
            </w:r>
          </w:p>
        </w:tc>
        <w:tc>
          <w:tcPr>
            <w:tcMar>
              <w:top w:w="0.0" w:type="dxa"/>
              <w:left w:w="100.0" w:type="dxa"/>
              <w:bottom w:w="0.0" w:type="dxa"/>
              <w:right w:w="100.0" w:type="dxa"/>
            </w:tcMar>
          </w:tcPr>
          <w:p w:rsidR="00000000" w:rsidDel="00000000" w:rsidP="00000000" w:rsidRDefault="00000000" w:rsidRPr="00000000" w14:paraId="00000024">
            <w:pPr>
              <w:shd w:fill="ffffff" w:val="clear"/>
              <w:spacing w:line="360" w:lineRule="auto"/>
              <w:rPr>
                <w:rFonts w:ascii="Arial" w:cs="Arial" w:eastAsia="Arial" w:hAnsi="Arial"/>
                <w:sz w:val="22"/>
                <w:szCs w:val="22"/>
              </w:rPr>
            </w:pPr>
            <w:r w:rsidDel="00000000" w:rsidR="00000000" w:rsidRPr="00000000">
              <w:rPr>
                <w:rFonts w:ascii="Arial" w:cs="Arial" w:eastAsia="Arial" w:hAnsi="Arial"/>
                <w:b w:val="1"/>
                <w:bCs w:val="1"/>
                <w:color w:val="000000"/>
                <w:sz w:val="22"/>
                <w:szCs w:val="22"/>
                <w:rtl w:val="0"/>
              </w:rPr>
              <w:t xml:space="preserve">$xxx</w:t>
            </w:r>
            <w:r w:rsidDel="00000000" w:rsidR="00000000" w:rsidRPr="00000000">
              <w:rPr>
                <w:rtl w:val="0"/>
              </w:rPr>
            </w:r>
          </w:p>
        </w:tc>
      </w:tr>
    </w:tbl>
    <w:p w:rsidR="00000000" w:rsidDel="00000000" w:rsidP="00000000" w:rsidRDefault="00000000" w:rsidRPr="00000000" w14:paraId="00000025">
      <w:pPr>
        <w:shd w:fill="ffffff" w:val="clea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shd w:fill="ffffff" w:val="clear"/>
        <w:spacing w:line="360" w:lineRule="auto"/>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Thank you for considering this request. I look forward to </w:t>
      </w:r>
      <w:r w:rsidDel="00000000" w:rsidR="00000000" w:rsidRPr="00000000">
        <w:rPr>
          <w:rFonts w:ascii="Arial" w:cs="Arial" w:eastAsia="Arial" w:hAnsi="Arial"/>
          <w:sz w:val="22"/>
          <w:szCs w:val="22"/>
          <w:rtl w:val="0"/>
        </w:rPr>
        <w:t xml:space="preserve">further </w:t>
      </w:r>
      <w:r w:rsidDel="00000000" w:rsidR="00000000" w:rsidRPr="00000000">
        <w:rPr>
          <w:rFonts w:ascii="Arial" w:cs="Arial" w:eastAsia="Arial" w:hAnsi="Arial"/>
          <w:color w:val="000000"/>
          <w:sz w:val="22"/>
          <w:szCs w:val="22"/>
          <w:rtl w:val="0"/>
        </w:rPr>
        <w:t xml:space="preserve">discussing this opportunity with you.</w:t>
      </w:r>
      <w:r w:rsidDel="00000000" w:rsidR="00000000" w:rsidRPr="00000000">
        <w:rPr>
          <w:rtl w:val="0"/>
        </w:rPr>
      </w:r>
    </w:p>
    <w:p w:rsidR="00000000" w:rsidDel="00000000" w:rsidP="00000000" w:rsidRDefault="00000000" w:rsidRPr="00000000" w14:paraId="00000027">
      <w:pPr>
        <w:shd w:fill="ffffff" w:val="clea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shd w:fill="ffffff" w:val="clear"/>
        <w:spacing w:line="360" w:lineRule="auto"/>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Sincerely,</w:t>
      </w:r>
      <w:r w:rsidDel="00000000" w:rsidR="00000000" w:rsidRPr="00000000">
        <w:rPr>
          <w:rtl w:val="0"/>
        </w:rPr>
      </w:r>
    </w:p>
    <w:p w:rsidR="00000000" w:rsidDel="00000000" w:rsidP="00000000" w:rsidRDefault="00000000" w:rsidRPr="00000000" w14:paraId="00000029">
      <w:pPr>
        <w:spacing w:line="360" w:lineRule="auto"/>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[Your Name]</w:t>
        <w:br w:type="textWrapping"/>
        <w:t xml:space="preserve">[Your Position]</w:t>
        <w:br w:type="textWrapping"/>
        <w:t xml:space="preserve">[Nonprofit's Name]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B5480E"/>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B5480E"/>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B5480E"/>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5480E"/>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B5480E"/>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B5480E"/>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B5480E"/>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B5480E"/>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B5480E"/>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B5480E"/>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B5480E"/>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B5480E"/>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B5480E"/>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B5480E"/>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B5480E"/>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B5480E"/>
    <w:rPr>
      <w:i w:val="1"/>
      <w:iCs w:val="1"/>
      <w:color w:val="404040" w:themeColor="text1" w:themeTint="0000BF"/>
    </w:rPr>
  </w:style>
  <w:style w:type="paragraph" w:styleId="ListParagraph">
    <w:name w:val="List Paragraph"/>
    <w:basedOn w:val="Normal"/>
    <w:uiPriority w:val="34"/>
    <w:qFormat w:val="1"/>
    <w:rsid w:val="00B5480E"/>
    <w:pPr>
      <w:ind w:left="720"/>
      <w:contextualSpacing w:val="1"/>
    </w:pPr>
  </w:style>
  <w:style w:type="character" w:styleId="IntenseEmphasis">
    <w:name w:val="Intense Emphasis"/>
    <w:basedOn w:val="DefaultParagraphFont"/>
    <w:uiPriority w:val="21"/>
    <w:qFormat w:val="1"/>
    <w:rsid w:val="00B5480E"/>
    <w:rPr>
      <w:i w:val="1"/>
      <w:iCs w:val="1"/>
      <w:color w:val="0f4761" w:themeColor="accent1" w:themeShade="0000BF"/>
    </w:rPr>
  </w:style>
  <w:style w:type="paragraph" w:styleId="IntenseQuote">
    <w:name w:val="Intense Quote"/>
    <w:basedOn w:val="Normal"/>
    <w:next w:val="Normal"/>
    <w:link w:val="IntenseQuoteChar"/>
    <w:uiPriority w:val="30"/>
    <w:qFormat w:val="1"/>
    <w:rsid w:val="00B5480E"/>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B5480E"/>
    <w:rPr>
      <w:i w:val="1"/>
      <w:iCs w:val="1"/>
      <w:color w:val="0f4761" w:themeColor="accent1" w:themeShade="0000BF"/>
    </w:rPr>
  </w:style>
  <w:style w:type="character" w:styleId="IntenseReference">
    <w:name w:val="Intense Reference"/>
    <w:basedOn w:val="DefaultParagraphFont"/>
    <w:uiPriority w:val="32"/>
    <w:qFormat w:val="1"/>
    <w:rsid w:val="00B5480E"/>
    <w:rPr>
      <w:b w:val="1"/>
      <w:bCs w:val="1"/>
      <w:smallCaps w:val="1"/>
      <w:color w:val="0f4761" w:themeColor="accent1" w:themeShade="0000BF"/>
      <w:spacing w:val="5"/>
    </w:rPr>
  </w:style>
  <w:style w:type="paragraph" w:styleId="NormalWeb">
    <w:name w:val="Normal (Web)"/>
    <w:basedOn w:val="Normal"/>
    <w:uiPriority w:val="99"/>
    <w:semiHidden w:val="1"/>
    <w:unhideWhenUsed w:val="1"/>
    <w:rsid w:val="00B5480E"/>
    <w:pPr>
      <w:spacing w:after="100" w:afterAutospacing="1" w:before="100" w:beforeAutospacing="1"/>
    </w:pPr>
    <w:rPr>
      <w:rFonts w:ascii="Times New Roman" w:cs="Times New Roman" w:eastAsia="Times New Roman" w:hAnsi="Times New Roman"/>
      <w:kern w:val="0"/>
    </w:rPr>
  </w:style>
  <w:style w:type="character" w:styleId="Hyperlink">
    <w:name w:val="Hyperlink"/>
    <w:basedOn w:val="DefaultParagraphFont"/>
    <w:uiPriority w:val="99"/>
    <w:unhideWhenUsed w:val="1"/>
    <w:rsid w:val="00F53BB5"/>
    <w:rPr>
      <w:color w:val="467886" w:themeColor="hyperlink"/>
      <w:u w:val="single"/>
    </w:rPr>
  </w:style>
  <w:style w:type="character" w:styleId="UnresolvedMention">
    <w:name w:val="Unresolved Mention"/>
    <w:basedOn w:val="DefaultParagraphFont"/>
    <w:uiPriority w:val="99"/>
    <w:semiHidden w:val="1"/>
    <w:unhideWhenUsed w:val="1"/>
    <w:rsid w:val="00F53BB5"/>
    <w:rPr>
      <w:color w:val="605e5c"/>
      <w:shd w:color="auto" w:fill="e1dfdd" w:val="clear"/>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spacing w:after="160" w:lineRule="auto"/>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respond.virtuous.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Y12ESy9rWm54d3oLGI69VCezGg==">CgMxLjA4AHIhMWxScGRsblNFS08zWDRyaXpyRzVwUjkxeTZUcnlCMUhE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2025-01-29T16:23:00Z</dcterms:created>
  <dc:creator>Monica McQueen</dc:creator>
</cp:coreProperties>
</file>